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МИНИСТЕРСТВО ФИНАНСОВ РОССИЙСКОЙ ФЕДЕРАЦИИ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ПИСЬМО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 3 ноября 2015 г. N 03-04-05/63421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Вопрос</w:t>
      </w:r>
      <w:r>
        <w:rPr>
          <w:rFonts w:ascii="Arial" w:hAnsi="Arial" w:cs="Arial"/>
          <w:color w:val="000000"/>
          <w:sz w:val="20"/>
          <w:szCs w:val="20"/>
        </w:rPr>
        <w:t>: О предоставлении в 2010 г. имущественного вычета по НДФЛ в отношении процентов по ипотечному кредиту на приобретение квартиры, если в 2005 г. предоставлен имущественный вычет на покупку другой квартиры.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Департамент налоговой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таможенно-тарифной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политики рассмотрел обращение и по вопросу изменения установленного законодательством порядка предоставления имущественного налогового вычета по налогу на доходы физических лиц по правоотношениям, возникшим до 1 января 2014 года, сообщает.</w:t>
      </w:r>
    </w:p>
    <w:p w:rsidR="00C066E6" w:rsidRDefault="00C066E6" w:rsidP="00C066E6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обращения следует, что в 2005 году физическим лицом была приобретена квартира и получен </w:t>
      </w:r>
      <w:r w:rsidRPr="00C066E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имущественный налоговый вычет</w:t>
      </w:r>
      <w:r>
        <w:rPr>
          <w:rFonts w:ascii="Arial" w:hAnsi="Arial" w:cs="Arial"/>
          <w:color w:val="000000"/>
          <w:sz w:val="20"/>
          <w:szCs w:val="20"/>
        </w:rPr>
        <w:t> в размере 33 800 рублей. В 2010 году им была приобретена другая квартира с привлечением ипотечного кредита.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Федеральным законом от 23.07.2013 N 212-ФЗ "О внесении изменения в статью 220 части второй Налогового кодекса Российской Федерации" (далее - Закон N 212-ФЗ) имущественный налоговый вычет, в частности,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выделен в отдельный подпункт 4 пункта 1 данной статьи Кодекса как самостоятельный имущественный налоговый вычет наряду с имущественным налоговым вычетом в размере фактически произведенных налогоплательщиком расходов на вышеуказанные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цели.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Исходя из положений пункта 2 статьи 2 Закона N 212-ФЗ нормы указанного Закона применяются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налогоплательщикам, которые впервые обращаются в налоговые органы за предоставлением имущественных налоговых вычетов по объектам недвижимого имущества, в отношении которых документы, подтверждающие право на получение имущественного налогового вычета, датированы начиная с 1 января 2014 года.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Поскольку документы, подтверждающие право налогоплательщика на указанный вычет, оформлены им до 1 января 2014 года, оснований для предоставления вычета, установленного подпунктом 4 пункта 1 статьи 220 Кодекса, не имеется.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 этом повторное предоставление налогоплательщику имущественного налогового вычета в соответствии со статьей 220 Кодекса не допускается.</w:t>
      </w:r>
    </w:p>
    <w:p w:rsidR="00C066E6" w:rsidRDefault="00C066E6" w:rsidP="00C066E6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Таким образом, </w:t>
      </w:r>
      <w:r w:rsidRPr="00C066E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налогоплательщик</w:t>
      </w:r>
      <w:r>
        <w:rPr>
          <w:rFonts w:ascii="Arial" w:hAnsi="Arial" w:cs="Arial"/>
          <w:color w:val="000000"/>
          <w:sz w:val="20"/>
          <w:szCs w:val="20"/>
        </w:rPr>
        <w:t> вправе претендовать на получение имущественного налогового вычета в соответствии с подпунктом 4 пункта 1 статьи 220 Кодекса в сумме фактически произведенных расходов на погашение процентов по целевым займам (кредитам), фактически израсходованным им на приобретение объекта недвижимости в случае, если ранее расходы на погашение процентов по целевым займам (кредитам) не включались в состав имущественного налогового вычета, полученного налогоплательщиком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связи приобретением им другого объекта недвижимости, и документы, подтверждающие право налогоплательщика на указанный имущественный налоговый вычет, датированы начиная с 1 января 2014 года.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Одновременно сообщаем, что изменение действующего порядка предоставления имущественного налогового вычета в настоящее время не планируется. 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Заместитель директора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Департамента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налоговой</w:t>
      </w:r>
      <w:proofErr w:type="gramEnd"/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таможенно-тарифной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политики</w:t>
      </w:r>
    </w:p>
    <w:p w:rsidR="00C066E6" w:rsidRDefault="00C066E6" w:rsidP="00C066E6">
      <w:pPr>
        <w:pStyle w:val="a3"/>
        <w:shd w:val="clear" w:color="auto" w:fill="FFFFFF"/>
        <w:spacing w:after="25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Р.А.СААКЯН</w:t>
      </w:r>
    </w:p>
    <w:p w:rsidR="00955F41" w:rsidRDefault="00955F41"/>
    <w:sectPr w:rsidR="00955F41" w:rsidSect="0095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6E6"/>
    <w:rsid w:val="00955F41"/>
    <w:rsid w:val="00C0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E6"/>
    <w:rPr>
      <w:b/>
      <w:bCs/>
    </w:rPr>
  </w:style>
  <w:style w:type="character" w:styleId="a5">
    <w:name w:val="Hyperlink"/>
    <w:basedOn w:val="a0"/>
    <w:uiPriority w:val="99"/>
    <w:semiHidden/>
    <w:unhideWhenUsed/>
    <w:rsid w:val="00C0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>DG Win&amp;Soft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Машуля</cp:lastModifiedBy>
  <cp:revision>1</cp:revision>
  <dcterms:created xsi:type="dcterms:W3CDTF">2019-07-07T06:36:00Z</dcterms:created>
  <dcterms:modified xsi:type="dcterms:W3CDTF">2019-07-07T06:37:00Z</dcterms:modified>
</cp:coreProperties>
</file>