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8B" w:rsidRDefault="00062F8B" w:rsidP="00062F8B"/>
    <w:p w:rsidR="00062F8B" w:rsidRDefault="00062F8B" w:rsidP="00062F8B">
      <w:pPr>
        <w:pStyle w:val="1"/>
        <w:jc w:val="center"/>
      </w:pPr>
      <w:r>
        <w:t>Закон РФ от 27.11.1992 N 4015-1 (ред. от 28.11.2018)</w:t>
      </w:r>
      <w:r>
        <w:br/>
      </w:r>
      <w:r>
        <w:t xml:space="preserve"> "Об организации с</w:t>
      </w:r>
      <w:bookmarkStart w:id="0" w:name="_GoBack"/>
      <w:bookmarkEnd w:id="0"/>
      <w:r>
        <w:t>трахового дела в Российской Федерации" (с изм. и доп., вступ. в силу с 04.08.2019)</w:t>
      </w:r>
    </w:p>
    <w:p w:rsidR="00062F8B" w:rsidRDefault="00062F8B" w:rsidP="00062F8B">
      <w:pPr>
        <w:pStyle w:val="2"/>
      </w:pPr>
      <w:r>
        <w:t>Статья 11. Страховая премия (страховые взносы) и страховой тариф</w:t>
      </w:r>
    </w:p>
    <w:p w:rsidR="00062F8B" w:rsidRDefault="00062F8B" w:rsidP="00062F8B"/>
    <w:p w:rsidR="00062F8B" w:rsidRDefault="00062F8B" w:rsidP="00062F8B">
      <w:r>
        <w:t>1. Страховая премия (страховые взносы) уплачивается страхователем в валюте Российской Федерации, за исключением случаев,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регулирования.</w:t>
      </w:r>
    </w:p>
    <w:p w:rsidR="00062F8B" w:rsidRDefault="00062F8B" w:rsidP="00062F8B">
      <w:r>
        <w:t>2. Страховой тариф - ставка страховой премии с единицы страховой суммы с учетом объекта страхования и характера страхового риска, а также других условий страхования, в том числе наличия франшизы и ее размера в соответствии с условиями страхования.</w:t>
      </w:r>
    </w:p>
    <w:p w:rsidR="00062F8B" w:rsidRDefault="00062F8B" w:rsidP="00062F8B">
      <w:r>
        <w:t xml:space="preserve">Страховщики обязаны применять </w:t>
      </w:r>
      <w:proofErr w:type="spellStart"/>
      <w:r>
        <w:t>актуарно</w:t>
      </w:r>
      <w:proofErr w:type="spellEnd"/>
      <w:r>
        <w:t xml:space="preserve"> (экономически) обоснованные страховые тарифы, которые рассчитываются в соответствии со стандартами актуарной деятельности.</w:t>
      </w:r>
    </w:p>
    <w:p w:rsidR="00062F8B" w:rsidRDefault="00062F8B" w:rsidP="00062F8B">
      <w:r>
        <w:t>Если иное не установлено федеральными законами, страховщик устанавливает страховые тарифы в соответствии с утвержденной им методикой расчета страховых тарифов, содержащей указание на стандарты актуарной деятельности, которые были использованы при определении значений страховых тарифов.</w:t>
      </w:r>
    </w:p>
    <w:p w:rsidR="00062F8B" w:rsidRDefault="00062F8B" w:rsidP="00062F8B">
      <w:proofErr w:type="gramStart"/>
      <w:r>
        <w:t>Страховые тарифы (базовые тарифные ставки и коэффициенты к ним или предельные значения указанных коэффициентов) по добровольному страхованию рассчитываются страховщиками по видам страхования на основании статистических данных (в том числе статистических данных, собираемых, обрабатываемых и анализируемых объединениями страховщиков), содержащих сведения о страховых случаях, страховых выплатах, об уровне убыточности страховых операций не менее чем за три отчетных года, непосредственно предшествующих дате расчета</w:t>
      </w:r>
      <w:proofErr w:type="gramEnd"/>
      <w:r>
        <w:t xml:space="preserve"> страховых тарифов по видам страхования, не относящимся к страхованию жизни, и не менее чем за пять отчетных лет, непосредственно предшествующих дате расчета страховых тарифов по страхованию жизни.</w:t>
      </w:r>
    </w:p>
    <w:p w:rsidR="00AE3B21" w:rsidRDefault="00062F8B" w:rsidP="00062F8B">
      <w:r>
        <w:t>Страховой тариф по конкретному договору добровольного страхования определяется по соглашению сторон.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B"/>
    <w:rsid w:val="00062F8B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6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6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2019-09-13T06:13:00Z</dcterms:created>
  <dcterms:modified xsi:type="dcterms:W3CDTF">2019-09-13T06:14:00Z</dcterms:modified>
</cp:coreProperties>
</file>