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3F" w:rsidRDefault="003B4D3F" w:rsidP="003B4D3F">
      <w:pPr>
        <w:pStyle w:val="1"/>
        <w:jc w:val="center"/>
      </w:pPr>
      <w:r>
        <w:t>Гражданский кодекс Ро</w:t>
      </w:r>
      <w:bookmarkStart w:id="0" w:name="_GoBack"/>
      <w:r>
        <w:t>с</w:t>
      </w:r>
      <w:bookmarkEnd w:id="0"/>
      <w:r>
        <w:t xml:space="preserve">сийской Федерации (часть вторая) от 26.01.1996 N 14-ФЗ (ред. от 29.07.2018, с изм. от 03.07.2019)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3B4D3F" w:rsidRDefault="003B4D3F" w:rsidP="003B4D3F">
      <w:pPr>
        <w:pStyle w:val="2"/>
      </w:pPr>
      <w:r>
        <w:t>ГК РФ Статья 609. Форма и государственная регистрация договора аренды</w:t>
      </w:r>
    </w:p>
    <w:p w:rsidR="003B4D3F" w:rsidRDefault="003B4D3F" w:rsidP="003B4D3F"/>
    <w:p w:rsidR="003B4D3F" w:rsidRDefault="003B4D3F" w:rsidP="003B4D3F">
      <w:r>
        <w:t>1. Договор аренды на срок более года, а если хотя бы одной из сторон договора является юридическое лицо, независимо от срока, должен быть заключен в письменной форме.</w:t>
      </w:r>
    </w:p>
    <w:p w:rsidR="003B4D3F" w:rsidRDefault="003B4D3F" w:rsidP="003B4D3F">
      <w:r>
        <w:t>2. Договор аренды недвижимого имущества подлежит государственной регистрации, если иное не установлено законом.</w:t>
      </w:r>
    </w:p>
    <w:p w:rsidR="00381DB3" w:rsidRDefault="003B4D3F" w:rsidP="003B4D3F">
      <w:r>
        <w:t>3. Договор аренды имущества, предусматривающий переход в последующем права собственности на это имущество к арендатору (статья 624), заключается в форме, предусмотренной для договора купли-продажи такого имущества.</w:t>
      </w:r>
    </w:p>
    <w:sectPr w:rsidR="0038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F"/>
    <w:rsid w:val="00381DB3"/>
    <w:rsid w:val="003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4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4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2019-09-18T08:10:00Z</dcterms:created>
  <dcterms:modified xsi:type="dcterms:W3CDTF">2019-09-18T08:10:00Z</dcterms:modified>
</cp:coreProperties>
</file>