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E5" w:rsidRDefault="00681FE5" w:rsidP="00681FE5">
      <w:pPr>
        <w:pStyle w:val="1"/>
      </w:pPr>
      <w:r>
        <w:t>Федеральный закон от 16.</w:t>
      </w:r>
      <w:bookmarkStart w:id="0" w:name="_GoBack"/>
      <w:bookmarkEnd w:id="0"/>
      <w:r>
        <w:t>07.1998 N 102-ФЗ (ред. от 02.08.2019) "Об ипотеке (залоге недвижимости)"</w:t>
      </w:r>
    </w:p>
    <w:p w:rsidR="00681FE5" w:rsidRDefault="00681FE5" w:rsidP="00681FE5">
      <w:pPr>
        <w:pStyle w:val="2"/>
      </w:pPr>
      <w:r>
        <w:t>Статья 13.2. Электронная закладная</w:t>
      </w:r>
    </w:p>
    <w:p w:rsidR="00681FE5" w:rsidRDefault="00681FE5" w:rsidP="00681FE5">
      <w:r>
        <w:t>(</w:t>
      </w:r>
      <w:proofErr w:type="gramStart"/>
      <w:r>
        <w:t>введена</w:t>
      </w:r>
      <w:proofErr w:type="gramEnd"/>
      <w:r>
        <w:t xml:space="preserve"> Федеральным законом от 25.11.2017 N 328-ФЗ)</w:t>
      </w:r>
    </w:p>
    <w:p w:rsidR="00681FE5" w:rsidRDefault="00681FE5" w:rsidP="00681FE5">
      <w:r>
        <w:t xml:space="preserve"> </w:t>
      </w:r>
    </w:p>
    <w:p w:rsidR="00681FE5" w:rsidRDefault="00681FE5" w:rsidP="00681FE5">
      <w:r>
        <w:t>1. Правила о документарной закладной, предусмотренные настоящим Федеральным законом, применяются к электронным закладным, если иное не предусмотрено настоящим Федеральным законом или не вытекает из существа электронной закладной.</w:t>
      </w:r>
    </w:p>
    <w:p w:rsidR="00681FE5" w:rsidRDefault="00681FE5" w:rsidP="00681FE5">
      <w:r>
        <w:t>Электронная закладная подлежит обязательной передаче на хранение в депозитарий, при этом заключение договора хранения с залогодателем не требуется.</w:t>
      </w:r>
    </w:p>
    <w:p w:rsidR="00681FE5" w:rsidRDefault="00681FE5" w:rsidP="00681FE5">
      <w:r>
        <w:t>В течение десяти лет с момента передачи электронной закладной в другой депозитарий либо аннулирования электронной закладной депозитарий обеспечивает хранение копии электронной закладной и информации обо всех изменениях, внесенных в такую закладную до ее передачи в другой депозитарий либо аннулирования.</w:t>
      </w:r>
    </w:p>
    <w:p w:rsidR="00681FE5" w:rsidRDefault="00681FE5" w:rsidP="00681FE5">
      <w:r>
        <w:t>2. Депозитарий, который осуществляет хранение электронной закладной, по запросам владельца электронной закладной, иного лица, осуществляющего права по электронной закладной, на счете депо которого осуществляется учет прав на такую закладную (депонента), предоставляет им сведения о содержании электронной закладной, а также заверенную депозитарием информацию о такой закладной на бумажном носителе.</w:t>
      </w:r>
    </w:p>
    <w:p w:rsidR="00006A47" w:rsidRDefault="00681FE5" w:rsidP="00681FE5">
      <w:r>
        <w:t xml:space="preserve">3. </w:t>
      </w:r>
      <w:proofErr w:type="gramStart"/>
      <w:r>
        <w:t>Порядок передачи на хранение органом регистрации прав электронной закладной, направления соглашения об изменении условий электронной закладной в депозитарий, осуществляющий хранение электронной закладной, а также уведомления о погашении регистрационной записи об ипотеке, порядок уведомления залогодержателя и залогодателя, а если залогодатель является третьим лицом, также и должника по обеспеченному ипотекой обязательству о депозитарии, осуществляющем хранение электронной закладной, и о дате внесения записи</w:t>
      </w:r>
      <w:proofErr w:type="gramEnd"/>
      <w:r>
        <w:t xml:space="preserve"> по счету депо залогодержателя, первоначально указанного в электронной закладной (далее - первоначальный владелец электронной закладной), либо об отказе в выдаче электронной закладной, соглашения об изменении условий электронной закладной, порядок направления запроса о проверке информации о владельце электронной закладной устанавливаются органом нормативно-правового регулирования в сфере государственной регистрации прав.</w:t>
      </w:r>
    </w:p>
    <w:sectPr w:rsidR="0000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E5"/>
    <w:rsid w:val="00006A47"/>
    <w:rsid w:val="0068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1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1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F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81F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1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1F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F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81F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2019-10-27T10:38:00Z</dcterms:created>
  <dcterms:modified xsi:type="dcterms:W3CDTF">2019-10-27T10:38:00Z</dcterms:modified>
</cp:coreProperties>
</file>