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r>
        <w:t xml:space="preserve">Федеральный закон от 29.12.2006 N 256-ФЗ (ред. от 02.08.2019) "О дополнительных мерах государственной поддержки семей, </w:t>
      </w:r>
      <w:bookmarkStart w:id="0" w:name="_GoBack"/>
      <w:bookmarkEnd w:id="0"/>
      <w:r>
        <w:t>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2019-11-06T10:30:00Z</dcterms:created>
  <dcterms:modified xsi:type="dcterms:W3CDTF">2019-11-06T10:30:00Z</dcterms:modified>
</cp:coreProperties>
</file>