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left="10490" w:right="2" w:hanging="709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FFFFFF"/>
          <w:sz w:val="24"/>
          <w:szCs w:val="24"/>
        </w:rPr>
        <w:t>в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Перечень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документов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по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кредитуемому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Объекту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недвижимости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center"/>
        <w:rPr>
          <w:rFonts w:ascii="TimesNewRomanPSMT" w:hAnsi="TimesNewRomanPSMT" w:cs="TimesNewRomanPSMT"/>
          <w:b/>
          <w:bCs/>
          <w:sz w:val="16"/>
          <w:szCs w:val="16"/>
        </w:rPr>
      </w:pPr>
    </w:p>
    <w:tbl>
      <w:tblPr>
        <w:tblW w:w="1460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0"/>
      </w:tblGrid>
      <w:tr w:rsidR="00000000" w:rsidRPr="00AD6CD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Цель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кредита</w:t>
            </w: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AD6CD2">
              <w:rPr>
                <w:rFonts w:ascii="TimesNewRomanPSMT" w:hAnsi="TimesNewRomanPSMT" w:cs="TimesNewRomanPSMT"/>
                <w:b/>
                <w:bCs/>
              </w:rPr>
              <w:t>Сроки</w:t>
            </w:r>
            <w:r w:rsidRPr="00AD6CD2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b/>
                <w:bCs/>
              </w:rPr>
              <w:t>предоставления</w:t>
            </w:r>
          </w:p>
        </w:tc>
      </w:tr>
      <w:tr w:rsidR="00000000" w:rsidRPr="00AD6C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I. 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На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цели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приобретения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Объекта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недвижимости</w:t>
            </w: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AD6CD2" w:rsidRDefault="00AD6CD2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" w:firstLine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6CD2">
              <w:rPr>
                <w:rFonts w:ascii="Symbol" w:hAnsi="Symbol" w:cs="Symbol"/>
                <w:sz w:val="20"/>
                <w:szCs w:val="20"/>
              </w:rPr>
              <w:t></w:t>
            </w:r>
            <w:r w:rsidRPr="00AD6CD2">
              <w:rPr>
                <w:rFonts w:ascii="Symbol" w:hAnsi="Symbol" w:cs="Symbol"/>
                <w:sz w:val="20"/>
                <w:szCs w:val="20"/>
              </w:rPr>
              <w:tab/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основание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приобретения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Объекта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недвижимости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(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предварительный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;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;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с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отсрочкой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платежа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)/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проект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Договора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основания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приобретения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Объекта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недвижимости</w:t>
            </w: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купли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-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продажи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должен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содержать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обязател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ьств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Заемщика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передаче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Продавцу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денежных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средств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сумме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кредита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качестве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обеспечения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заключения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основного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Обязательства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Заемщика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передаче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Продавцу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денежных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средств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сумме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кредита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чет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оплаты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стоимости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приобретаемого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должны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выполняться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следующем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порядке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:</w:t>
            </w: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случае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Продавцом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физическое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лицо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ранее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дня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перехода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права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органах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гистрации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прав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Объектом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Жилое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lastRenderedPageBreak/>
              <w:t>помещение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апартаменты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дача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садовый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дом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);</w:t>
            </w: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случае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Продавцом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физическое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лицо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ранее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дня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сторонами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основного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купли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-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продажи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Объектом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едвижимости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иной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кредитуемый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исключением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Жилого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помещения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апартаментов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дачи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садового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дома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);</w:t>
            </w: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случае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Продавцом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юридическое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лицо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ранее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дня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сторонами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основного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купли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-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продажи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движимости</w:t>
            </w:r>
            <w:r w:rsidRPr="00AD6CD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).</w:t>
            </w: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</w:p>
          <w:p w:rsidR="00000000" w:rsidRPr="00AD6CD2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При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оформлении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качестве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обеспечения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исполнения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обязательств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по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Кредитному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договору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залога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Объекта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недвижимости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(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при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возникновении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ипотеки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силу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закона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)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Договоре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должны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быть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указаны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следующие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условия</w:t>
            </w:r>
            <w:r w:rsidRPr="00AD6CD2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усмотрены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AD6CD2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Закладной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происходит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возникает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284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284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284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будущих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бывших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производиться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изъятие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стороны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договорились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изъятие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производиться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всеми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будущими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бывшими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несколькими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будущими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бывшими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зависимости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форма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между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сторонами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депонированного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безотзывного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; </w:t>
            </w:r>
          </w:p>
          <w:p w:rsidR="00000000" w:rsidRDefault="00AD6C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исполняющим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процентной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ставки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платежи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2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накопительно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системы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военнослужащих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первоначального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получении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накопительно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системы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военнослужащих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первоначального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AD6CD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указывае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); </w:t>
            </w:r>
          </w:p>
          <w:p w:rsidR="00000000" w:rsidRDefault="00AD6CD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качестве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AD6CD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Закладной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авцу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возникает</w:t>
            </w:r>
            <w:r>
              <w:rPr>
                <w:rFonts w:eastAsia="HiraginoSans-W3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6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Залоговый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2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Кредитуем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путем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безналичного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перечисления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открытый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Продавец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направить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средства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еализации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задолженности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задолженности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прекращения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позднее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3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рабочих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AD6CD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57" w:right="2" w:hanging="331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5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488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Гражданского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»,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»,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lastRenderedPageBreak/>
              <w:t>зарегистрировано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 </w:t>
            </w:r>
          </w:p>
          <w:p w:rsidR="00000000" w:rsidRDefault="00AD6CD2">
            <w:pPr>
              <w:widowControl w:val="0"/>
              <w:numPr>
                <w:ilvl w:val="0"/>
                <w:numId w:val="9"/>
              </w:numPr>
              <w:tabs>
                <w:tab w:val="left" w:pos="1027"/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102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далее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4"/>
                <w:szCs w:val="24"/>
                <w:vertAlign w:val="superscript"/>
              </w:rPr>
              <w:t xml:space="preserve">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»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содержания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. 2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. 33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вышеуказанного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зарегистрировано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также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зарегистрировано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</w:t>
            </w:r>
          </w:p>
          <w:p w:rsidR="00000000" w:rsidRDefault="00AD6CD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85" w:right="2" w:hanging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действовавшим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numPr>
                <w:ilvl w:val="0"/>
                <w:numId w:val="11"/>
              </w:numPr>
              <w:tabs>
                <w:tab w:val="left" w:pos="602"/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743" w:right="2" w:hanging="141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ограничений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обременений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аренда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.)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осуществлявших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31.01.1998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авлена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исключением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  </w:t>
            </w:r>
          </w:p>
        </w:tc>
        <w:tc>
          <w:tcPr>
            <w:tcW w:w="17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0"/>
                <w:numId w:val="12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преимущественного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250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Гражданского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/13/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42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/15/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AD6C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нотариуса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другому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намерении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свою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комнату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коммунальной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ответа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информации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ответа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другого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установленный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6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0"/>
                <w:numId w:val="14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являющегося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дарения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наследство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совместном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пережившему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приватизация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2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меньшем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реальная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рыночная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Может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совместно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указанными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).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0"/>
                <w:numId w:val="1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исключение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наследования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безвозмездным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сделкам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AD6CD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исключением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наследования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безвозмездным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сделкам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личности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собственноручной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0"/>
                <w:numId w:val="19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третьему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доверенным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физического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0"/>
                <w:numId w:val="20"/>
              </w:num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left="1500"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попечительства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left="20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несовершеннолетний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0"/>
                <w:numId w:val="21"/>
              </w:num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left="150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попечительства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йствующего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преимущественного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250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Гражданского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/13/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42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/15/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преиму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щественного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несовершеннолетним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0"/>
                <w:numId w:val="22"/>
              </w:num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left="150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специализированного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депозитария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Продавец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юридическое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лицо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:</w:t>
            </w:r>
            <w:r>
              <w:rPr>
                <w:rFonts w:ascii="TimesNewRomanPSMT" w:eastAsia="HiraginoSans-W3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1.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правоспособность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numPr>
                <w:ilvl w:val="1"/>
                <w:numId w:val="23"/>
              </w:num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редакции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изменения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установленном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1"/>
                <w:numId w:val="23"/>
              </w:num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юридических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60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руководителем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1"/>
                <w:numId w:val="2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/>
              <w:ind w:left="72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2.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полномочия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Протокол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собрания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акционеров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протокол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директоров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избрании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протокол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собрания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акционеров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полномочий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коммерческой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организации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ндивидуальному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предпринимателю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полномочия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представителя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являющегося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исполнительным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коллегиальных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крупной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имеется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заинтересованность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одобрение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учредительными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письмо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исполнительного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главного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бухгалтера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крупной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имеется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заинтересованность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left="24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правила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изменениями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01.09.2013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службой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финансовым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рынкам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left="24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фондов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left="24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доставляются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руководителем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lastRenderedPageBreak/>
              <w:t xml:space="preserve">II.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Кредит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недвижимости</w:t>
            </w: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1.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</w:p>
          <w:p w:rsidR="00000000" w:rsidRDefault="00AD6CD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1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путем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55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стройщику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сумме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    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Обязательства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Застройщику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сумме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основному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выполняться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следующем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юридическим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физическим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органах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.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заключенный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должен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существенные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аналогичные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изложенным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lastRenderedPageBreak/>
              <w:t>настоящего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Приложения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следующее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сведения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позволяющие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установить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подлежащий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покупателю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ям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срок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который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стороны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обязуются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заключить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условие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текст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).).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тексте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справки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выплате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аналогичные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изложенным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настоящего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тексте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426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постановлением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15 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2008 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 370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накопительно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системы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военнослужащих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»;</w:t>
            </w:r>
          </w:p>
          <w:p w:rsidR="00000000" w:rsidRDefault="00AD6CD2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426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возврат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перечисленных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уплату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расторжения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любы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1"/>
                <w:numId w:val="2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681" w:right="2" w:hanging="398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качестве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AD6CD2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426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аналогичные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изложенным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настояще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качестве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форма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тексте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между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сторонами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депонированного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безотзывного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; </w:t>
            </w:r>
          </w:p>
          <w:p w:rsidR="00000000" w:rsidRDefault="00AD6CD2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олняющим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 -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1"/>
                <w:numId w:val="31"/>
              </w:num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оператива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Кооператив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нежилых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):</w:t>
            </w:r>
          </w:p>
          <w:p w:rsidR="00000000" w:rsidRDefault="00AD6CD2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62" w:right="2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lastRenderedPageBreak/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742" w:right="23" w:hanging="24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субаренды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45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/18/,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документальное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опубликования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декларации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информационно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телекоммуникационных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сетях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Интер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декларации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уведомляет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нераспространении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рекламы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связанной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привлечением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Кооперативом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субаренды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AD6CD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1"/>
                <w:numId w:val="33"/>
              </w:num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AD6CD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1"/>
                <w:numId w:val="34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передаточный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14</w:t>
            </w: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14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):</w:t>
            </w: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Кооператива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вступительного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просроченного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платежа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вступ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подлежащий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уплате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неуплаченного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путем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правила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изменениями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01.09.2013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службой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финансовым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рынкам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 xml:space="preserve"> 14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фондов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14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специализированного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депозитария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специализированного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депозитария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руководителем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 xml:space="preserve">9 </w:t>
            </w:r>
          </w:p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9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</w:p>
          <w:p w:rsidR="00000000" w:rsidRDefault="00AD6CD2">
            <w:pPr>
              <w:widowControl w:val="0"/>
              <w:numPr>
                <w:ilvl w:val="1"/>
                <w:numId w:val="35"/>
              </w:numPr>
              <w:tabs>
                <w:tab w:val="left" w:pos="0"/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0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AD6CD2">
            <w:pPr>
              <w:widowControl w:val="0"/>
              <w:tabs>
                <w:tab w:val="left" w:pos="0"/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AD6CD2">
            <w:pPr>
              <w:widowControl w:val="0"/>
              <w:numPr>
                <w:ilvl w:val="1"/>
                <w:numId w:val="36"/>
              </w:numPr>
              <w:tabs>
                <w:tab w:val="left" w:pos="0"/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lastRenderedPageBreak/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личности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собственноручной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подписи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8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меньшем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реальная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рыночная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Может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совместно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указанными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Письмо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форме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согласованной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способе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 -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снимается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направляется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снимаются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,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2.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Индивидуальное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2.1.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ществляемое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строительной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организацией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осуществляющим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).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проведении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другой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организацией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58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1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отражающая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сметную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материало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</w:tc>
        <w:tc>
          <w:tcPr>
            <w:tcW w:w="258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любом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.17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51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Градостроительного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/16/):</w:t>
            </w:r>
          </w:p>
          <w:p w:rsidR="00000000" w:rsidRDefault="00AD6CD2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9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гаража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предпринимат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ельской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деятельности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9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садоводства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хозяйства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9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сооружений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вспомогательного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0"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2.2.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осуществляемое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без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привлечения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строительных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организаций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иных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осущ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ествляющих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самостоятельное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отражающая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перечень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материалов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материалов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.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любом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.17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51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Градостроительного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/16/):</w:t>
            </w:r>
          </w:p>
          <w:p w:rsidR="00000000" w:rsidRDefault="00AD6CD2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 w:right="2" w:hanging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гаража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предпринимательской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деятельности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 w:right="2" w:hanging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садоводства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хозяйства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AD6CD2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84" w:right="2" w:hanging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сооружений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вспомогательного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 w:firstLine="709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 w:firstLine="709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III.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принятии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lastRenderedPageBreak/>
              <w:t>участника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документам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указанным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разделах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II,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представляются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: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справка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эксплуатационного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жильцов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домовой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книги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жильцов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помещения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возможное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9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представляется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 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позднее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20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личности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собственноручной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подписи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попечительства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ачу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представляется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Банка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передаваемого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несовершеннолетний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брачный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раздельного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супругами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технический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паспорт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поэтажный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ликация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поэтажный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экспликация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могут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технического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паспорта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апартаментам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56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: </w:t>
            </w:r>
          </w:p>
          <w:p w:rsidR="00000000" w:rsidRDefault="00AD6CD2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0" w:line="240" w:lineRule="auto"/>
              <w:ind w:left="72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300 000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./10 000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долларов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США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7000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евро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</w:t>
            </w:r>
          </w:p>
          <w:p w:rsidR="00000000" w:rsidRDefault="00AD6CD2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0" w:line="240" w:lineRule="auto"/>
              <w:ind w:left="72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1 500 000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рублей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/50 000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США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38 000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евро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Загородная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».</w:t>
            </w:r>
          </w:p>
          <w:p w:rsidR="00000000" w:rsidRDefault="00AD6CD2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992" w:right="2" w:firstLine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  <w:u w:val="single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инициировано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увеличение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возможным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недофинансированием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меньшем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реальная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рыночная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u w:val="single"/>
              </w:rPr>
              <w:t xml:space="preserve"> 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  <w:u w:val="single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Может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совместно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указанными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</w:p>
        </w:tc>
      </w:tr>
    </w:tbl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NewRomanPSMT" w:eastAsia="HiraginoSans-W3" w:hAnsi="TimesNewRomanPSMT" w:cs="TimesNewRomanPSMT"/>
          <w:sz w:val="24"/>
          <w:szCs w:val="24"/>
        </w:rPr>
      </w:pP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385" w:firstLine="709"/>
        <w:jc w:val="both"/>
        <w:rPr>
          <w:rFonts w:ascii="TimesNewRomanPSMT" w:eastAsia="HiraginoSans-W3" w:hAnsi="TimesNewRomanPSMT" w:cs="TimesNewRomanPSMT"/>
          <w:sz w:val="20"/>
          <w:szCs w:val="20"/>
        </w:rPr>
      </w:pPr>
    </w:p>
    <w:p w:rsidR="00000000" w:rsidRDefault="00AD6CD2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20"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Wingdings-Regular" w:eastAsia="HiraginoSans-W3" w:hAnsi="Wingdings-Regular" w:cs="Wingdings-Regular"/>
          <w:sz w:val="19"/>
          <w:szCs w:val="19"/>
        </w:rPr>
        <w:t>¬</w:t>
      </w:r>
      <w:r>
        <w:rPr>
          <w:rFonts w:ascii="Wingdings-Regular" w:eastAsia="HiraginoSans-W3" w:hAnsi="Wingdings-Regular" w:cs="Wingdings-Regular"/>
          <w:sz w:val="19"/>
          <w:szCs w:val="19"/>
        </w:rPr>
        <w:tab/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содержать</w:t>
      </w:r>
      <w:r>
        <w:rPr>
          <w:rFonts w:ascii="TimesNewRomanPSMT" w:eastAsia="HiraginoSans-W3" w:hAnsi="TimesNewRomanPSMT" w:cs="TimesNewRomanPSMT"/>
          <w:sz w:val="19"/>
          <w:szCs w:val="19"/>
        </w:rPr>
        <w:t>: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наименование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которой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дается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>,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описание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которым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ми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будет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ны</w:t>
      </w:r>
      <w:r>
        <w:rPr>
          <w:rFonts w:ascii="TimesNewRomanPSMT" w:eastAsia="HiraginoSans-W3" w:hAnsi="TimesNewRomanPSMT" w:cs="TimesNewRomanPSMT"/>
          <w:sz w:val="19"/>
          <w:szCs w:val="19"/>
        </w:rPr>
        <w:t>),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описание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условий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или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указание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гут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за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цену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условиях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усмотрению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совершающего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сделку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>).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случае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передачи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документе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отражено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указанием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качестве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залогодержателя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либо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любому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лицу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условиях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усмотрению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совершающего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сделку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))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отражено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возможное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последующее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отчуждение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</w:p>
    <w:p w:rsidR="00000000" w:rsidRDefault="00AD6CD2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720"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Wingdings-Regular" w:eastAsia="HiraginoSans-W3" w:hAnsi="Wingdings-Regular" w:cs="Wingdings-Regular"/>
          <w:sz w:val="19"/>
          <w:szCs w:val="19"/>
        </w:rPr>
        <w:t>¬</w:t>
      </w:r>
      <w:r>
        <w:rPr>
          <w:rFonts w:ascii="Wingdings-Regular" w:eastAsia="HiraginoSans-W3" w:hAnsi="Wingdings-Regular" w:cs="Wingdings-Regular"/>
          <w:sz w:val="19"/>
          <w:szCs w:val="19"/>
        </w:rPr>
        <w:tab/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органов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опеки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попечительства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содержать</w:t>
      </w:r>
      <w:r>
        <w:rPr>
          <w:rFonts w:ascii="TimesNewRomanPSMT" w:eastAsia="HiraginoSans-W3" w:hAnsi="TimesNewRomanPSMT" w:cs="TimesNewRomanPSMT"/>
          <w:sz w:val="19"/>
          <w:szCs w:val="19"/>
        </w:rPr>
        <w:t>: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указ</w:t>
      </w:r>
      <w:r>
        <w:rPr>
          <w:rFonts w:ascii="TimesNewRomanPSMT" w:eastAsia="HiraginoSans-W3" w:hAnsi="TimesNewRomanPSMT" w:cs="TimesNewRomanPSMT"/>
          <w:sz w:val="19"/>
          <w:szCs w:val="19"/>
        </w:rPr>
        <w:t>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лица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которому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дается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>,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 </w:t>
      </w:r>
      <w:r>
        <w:rPr>
          <w:rFonts w:ascii="TimesNewRomanPSMT" w:eastAsia="HiraginoSans-W3" w:hAnsi="TimesNewRomanPSMT" w:cs="TimesNewRomanPSMT"/>
          <w:sz w:val="19"/>
          <w:szCs w:val="19"/>
        </w:rPr>
        <w:t>наименование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которой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дается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>,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описание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которым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ми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будет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ны</w:t>
      </w:r>
      <w:r>
        <w:rPr>
          <w:rFonts w:ascii="TimesNewRomanPSMT" w:eastAsia="HiraginoSans-W3" w:hAnsi="TimesNewRomanPSMT" w:cs="TimesNewRomanPSMT"/>
          <w:sz w:val="19"/>
          <w:szCs w:val="19"/>
        </w:rPr>
        <w:t>).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случае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передачи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док</w:t>
      </w:r>
      <w:r>
        <w:rPr>
          <w:rFonts w:ascii="TimesNewRomanPSMT" w:eastAsia="HiraginoSans-W3" w:hAnsi="TimesNewRomanPSMT" w:cs="TimesNewRomanPSMT"/>
          <w:sz w:val="19"/>
          <w:szCs w:val="19"/>
        </w:rPr>
        <w:t>ументе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обязательном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порядке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отражено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также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указано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возможное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последующее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отчуждение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NewRomanPSMT" w:eastAsia="HiraginoSans-W3" w:hAnsi="TimesNewRomanPSMT" w:cs="TimesNewRomanPSMT"/>
          <w:sz w:val="19"/>
          <w:szCs w:val="19"/>
        </w:rPr>
      </w:pP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385" w:firstLine="709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Перечень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документов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изменен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или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дополнен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юридическим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подразделением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терр</w:t>
      </w:r>
      <w:r>
        <w:rPr>
          <w:rFonts w:ascii="TimesNewRomanPSMT" w:eastAsia="HiraginoSans-W3" w:hAnsi="TimesNewRomanPSMT" w:cs="TimesNewRomanPSMT"/>
          <w:sz w:val="19"/>
          <w:szCs w:val="19"/>
        </w:rPr>
        <w:t>иториального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центрального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аппарата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ПАО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Сбербанк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числе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случае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изменения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законодательства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Документы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ограниченным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сроком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действия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также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нотариально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удостоверенное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передачу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имущества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нотариально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удостоверен</w:t>
      </w:r>
      <w:r>
        <w:rPr>
          <w:rFonts w:ascii="TimesNewRomanPSMT" w:eastAsia="HiraginoSans-W3" w:hAnsi="TimesNewRomanPSMT" w:cs="TimesNewRomanPSMT"/>
          <w:sz w:val="19"/>
          <w:szCs w:val="19"/>
        </w:rPr>
        <w:t>ное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составленное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присутствии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работника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заявление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залогодателя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браке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состоял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  <w:r>
        <w:rPr>
          <w:rFonts w:ascii="TimesNewRomanPSMT" w:eastAsia="HiraginoSans-W3" w:hAnsi="TimesNewRomanPSMT" w:cs="TimesNewRomanPSMT"/>
          <w:sz w:val="19"/>
          <w:szCs w:val="19"/>
        </w:rPr>
        <w:t>п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. </w:t>
      </w:r>
      <w:r>
        <w:rPr>
          <w:rFonts w:ascii="TimesNewRomanPSMT" w:eastAsia="HiraginoSans-W3" w:hAnsi="TimesNewRomanPSMT" w:cs="TimesNewRomanPSMT"/>
          <w:sz w:val="19"/>
          <w:szCs w:val="19"/>
        </w:rPr>
        <w:t>могут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предоставляться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непосредственно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заключением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договора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основании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возникает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при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оформлении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силу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</w:t>
      </w:r>
      <w:r>
        <w:rPr>
          <w:rFonts w:ascii="TimesNewRomanPSMT" w:eastAsia="HiraginoSans-W3" w:hAnsi="TimesNewRomanPSMT" w:cs="TimesNewRomanPSMT"/>
          <w:sz w:val="19"/>
          <w:szCs w:val="19"/>
        </w:rPr>
        <w:t>вора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– </w:t>
      </w:r>
      <w:r>
        <w:rPr>
          <w:rFonts w:ascii="TimesNewRomanPSMT" w:eastAsia="HiraginoSans-W3" w:hAnsi="TimesNewRomanPSMT" w:cs="TimesNewRomanPSMT"/>
          <w:sz w:val="19"/>
          <w:szCs w:val="19"/>
        </w:rPr>
        <w:t>до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заключения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договора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ипотеке</w:t>
      </w:r>
      <w:r>
        <w:rPr>
          <w:rFonts w:ascii="TimesNewRomanPSMT" w:eastAsia="HiraginoSans-W3" w:hAnsi="TimesNewRomanPSMT" w:cs="TimesNewRomanPSMT"/>
          <w:sz w:val="19"/>
          <w:szCs w:val="19"/>
        </w:rPr>
        <w:t>).</w:t>
      </w:r>
    </w:p>
    <w:p w:rsidR="00000000" w:rsidRDefault="00AD6CD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Заявление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Продавца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лица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уступающего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/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(</w:t>
      </w:r>
      <w:r>
        <w:rPr>
          <w:rFonts w:ascii="TimesNewRomanPSMT" w:eastAsia="HiraginoSans-W3" w:hAnsi="TimesNewRomanPSMT" w:cs="TimesNewRomanPSMT"/>
          <w:sz w:val="19"/>
          <w:szCs w:val="19"/>
        </w:rPr>
        <w:t>при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кредитовании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инвестирование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строительства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после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получения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ввод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эксплуатацию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многоквартирного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дома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или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иного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момента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государственной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регистрации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собственности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Застройщика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владельцев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инвестиционных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паев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ПИФ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– </w:t>
      </w:r>
      <w:r>
        <w:rPr>
          <w:rFonts w:ascii="TimesNewRomanPSMT" w:eastAsia="HiraginoSans-W3" w:hAnsi="TimesNewRomanPSMT" w:cs="TimesNewRomanPSMT"/>
          <w:sz w:val="19"/>
          <w:szCs w:val="19"/>
        </w:rPr>
        <w:t>для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Инвестора</w:t>
      </w:r>
      <w:r>
        <w:rPr>
          <w:rFonts w:ascii="TimesNewRomanPSMT" w:eastAsia="HiraginoSans-W3" w:hAnsi="TimesNewRomanPSMT" w:cs="TimesNewRomanPSMT"/>
          <w:sz w:val="19"/>
          <w:szCs w:val="19"/>
        </w:rPr>
        <w:t>-</w:t>
      </w:r>
      <w:r>
        <w:rPr>
          <w:rFonts w:ascii="TimesNewRomanPSMT" w:eastAsia="HiraginoSans-W3" w:hAnsi="TimesNewRomanPSMT" w:cs="TimesNewRomanPSMT"/>
          <w:sz w:val="19"/>
          <w:szCs w:val="19"/>
        </w:rPr>
        <w:t>управляющей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компании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ПИФ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момент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приобретения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>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браке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состоял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составлено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присутствии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работника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непосредственно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выдачей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первой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части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кредита</w:t>
      </w:r>
      <w:r>
        <w:rPr>
          <w:rFonts w:ascii="TimesNewRomanPSMT" w:eastAsia="HiraginoSans-W3" w:hAnsi="TimesNewRomanPSMT" w:cs="TimesNewRomanPSMT"/>
          <w:sz w:val="19"/>
          <w:szCs w:val="19"/>
        </w:rPr>
        <w:t>) (</w:t>
      </w:r>
      <w:r>
        <w:rPr>
          <w:rFonts w:ascii="TimesNewRomanPSMT" w:eastAsia="HiraginoSans-W3" w:hAnsi="TimesNewRomanPSMT" w:cs="TimesNewRomanPSMT"/>
          <w:sz w:val="19"/>
          <w:szCs w:val="19"/>
        </w:rPr>
        <w:t>за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исключением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продукта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«</w:t>
      </w:r>
      <w:r>
        <w:rPr>
          <w:rFonts w:ascii="TimesNewRomanPSMT" w:eastAsia="HiraginoSans-W3" w:hAnsi="TimesNewRomanPSMT" w:cs="TimesNewRomanPSMT"/>
          <w:sz w:val="19"/>
          <w:szCs w:val="19"/>
        </w:rPr>
        <w:t>Военная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ипотека</w:t>
      </w:r>
      <w:r>
        <w:rPr>
          <w:rFonts w:ascii="TimesNewRomanPSMT" w:eastAsia="HiraginoSans-W3" w:hAnsi="TimesNewRomanPSMT" w:cs="TimesNewRomanPSMT"/>
          <w:sz w:val="19"/>
          <w:szCs w:val="19"/>
        </w:rPr>
        <w:t>» - «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Приобретение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готового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жилья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»).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рамках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продукта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«</w:t>
      </w:r>
      <w:r>
        <w:rPr>
          <w:rFonts w:ascii="TimesNewRomanPSMT" w:eastAsia="HiraginoSans-W3" w:hAnsi="TimesNewRomanPSMT" w:cs="TimesNewRomanPSMT"/>
          <w:sz w:val="19"/>
          <w:szCs w:val="19"/>
        </w:rPr>
        <w:t>Военная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ипотека</w:t>
      </w:r>
      <w:r>
        <w:rPr>
          <w:rFonts w:ascii="TimesNewRomanPSMT" w:eastAsia="HiraginoSans-W3" w:hAnsi="TimesNewRomanPSMT" w:cs="TimesNewRomanPSMT"/>
          <w:sz w:val="19"/>
          <w:szCs w:val="19"/>
        </w:rPr>
        <w:t>» - «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</w:t>
      </w:r>
      <w:r>
        <w:rPr>
          <w:rFonts w:ascii="TimesNewRomanPSMT" w:eastAsia="HiraginoSans-W3" w:hAnsi="TimesNewRomanPSMT" w:cs="TimesNewRomanPSMT"/>
          <w:sz w:val="19"/>
          <w:szCs w:val="19"/>
        </w:rPr>
        <w:t>ретение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готового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жилья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» </w:t>
      </w:r>
      <w:r>
        <w:rPr>
          <w:rFonts w:ascii="TimesNewRomanPSMT" w:eastAsia="HiraginoSans-W3" w:hAnsi="TimesNewRomanPSMT" w:cs="TimesNewRomanPSMT"/>
          <w:sz w:val="19"/>
          <w:szCs w:val="19"/>
        </w:rPr>
        <w:t>заявление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Продавца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момент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приобретения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браке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состоял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составлено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присутствии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работника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непосредственно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заключением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договора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AD6CD2" w:rsidRDefault="00AD6CD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Документы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предоставленные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оригинале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>обходимые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регистрации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государственных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органах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могут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переданы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государственный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орган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осуществляющий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регистрацию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при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этом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требуется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обязательное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снятие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них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копии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вложения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досье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. </w:t>
      </w:r>
    </w:p>
    <w:sectPr w:rsidR="00AD6CD2">
      <w:pgSz w:w="16840" w:h="11900"/>
      <w:pgMar w:top="1021" w:right="720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raginoSans-W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000008F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0000096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000009C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00000A2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00000A8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00000AF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00000B5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00000BB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00000C1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00000C8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00000CE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00000D4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00000DA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00000E1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00000E7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00000ED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00000F3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00000FA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0000100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0000106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000010C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0000113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DA5"/>
    <w:rsid w:val="00457DA5"/>
    <w:rsid w:val="00A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SB</Company>
  <LinksUpToDate>false</LinksUpToDate>
  <CharactersWithSpaces>49019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cp:lastModifiedBy>А&amp;Н</cp:lastModifiedBy>
  <cp:revision>2</cp:revision>
  <dcterms:created xsi:type="dcterms:W3CDTF">2020-02-06T07:37:00Z</dcterms:created>
  <dcterms:modified xsi:type="dcterms:W3CDTF">2020-02-06T07:37:00Z</dcterms:modified>
</cp:coreProperties>
</file>