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Default="006B6718" w:rsidP="006B6718">
      <w:r>
        <w:t>1. Страхование имущества, заложенного по договору об ипотеке, осуществляется в соответствии с условиями этого договора. 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 полностью или в части.</w:t>
      </w:r>
    </w:p>
    <w:p w:rsidR="006B6718" w:rsidRDefault="006B6718" w:rsidP="006B6718">
      <w:r>
        <w:t>Убытки залогодержателя, связанные с недостаточностью денежных средств, вырученных от реализации заложенного имущества, либо с недостаточной стоимостью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 этом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действия договора страхования ответственности заемщика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10. При отказе страхователя от договора страхования ответственности заемщика или договора страхования финансового риска кредитора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6B6718"/>
    <w:rsid w:val="00980D60"/>
    <w:rsid w:val="009A56AE"/>
    <w:rsid w:val="00A03B00"/>
    <w:rsid w:val="00DA6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2020-03-12T15:56:00Z</dcterms:created>
  <dcterms:modified xsi:type="dcterms:W3CDTF">2020-03-12T15:56:00Z</dcterms:modified>
</cp:coreProperties>
</file>